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BDEE" w14:textId="10030C52" w:rsidR="005565F5" w:rsidRDefault="00701C45" w:rsidP="00346A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Proactive and effective contact tracing has been critical to preventing widespread community </w:t>
      </w:r>
      <w:r w:rsidR="00526F89">
        <w:rPr>
          <w:rFonts w:ascii="Arial" w:hAnsi="Arial" w:cs="Arial"/>
          <w:spacing w:val="-3"/>
          <w:sz w:val="22"/>
          <w:szCs w:val="22"/>
        </w:rPr>
        <w:t xml:space="preserve">transmission of COVID-19 when positive cases have been detected in the community. The </w:t>
      </w:r>
      <w:r w:rsidR="00256797">
        <w:rPr>
          <w:rFonts w:ascii="Arial" w:hAnsi="Arial" w:cs="Arial"/>
          <w:spacing w:val="-3"/>
          <w:sz w:val="22"/>
          <w:szCs w:val="22"/>
        </w:rPr>
        <w:t>‘Check In Qld’ app (App)</w:t>
      </w:r>
      <w:r w:rsidR="007D4621">
        <w:rPr>
          <w:rFonts w:ascii="Arial" w:hAnsi="Arial" w:cs="Arial"/>
          <w:spacing w:val="-3"/>
          <w:sz w:val="22"/>
          <w:szCs w:val="22"/>
        </w:rPr>
        <w:t xml:space="preserve"> has significantly enhanced Queensland’s contact tracing system and is widely used across the State</w:t>
      </w:r>
      <w:r w:rsidR="002464D2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74883C8C" w14:textId="624A48F6" w:rsidR="00E97707" w:rsidRPr="00E97707" w:rsidRDefault="003941F6" w:rsidP="00346A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</w:t>
      </w:r>
      <w:r w:rsidRPr="00D16E43">
        <w:rPr>
          <w:rFonts w:ascii="Arial" w:hAnsi="Arial" w:cs="Arial"/>
          <w:spacing w:val="-3"/>
          <w:sz w:val="22"/>
          <w:szCs w:val="22"/>
        </w:rPr>
        <w:t xml:space="preserve">mendments </w:t>
      </w:r>
      <w:r>
        <w:rPr>
          <w:rFonts w:ascii="Arial" w:hAnsi="Arial" w:cs="Arial"/>
          <w:spacing w:val="-3"/>
          <w:sz w:val="22"/>
          <w:szCs w:val="22"/>
        </w:rPr>
        <w:t xml:space="preserve">will be </w:t>
      </w:r>
      <w:r w:rsidR="00CB33BB">
        <w:rPr>
          <w:rFonts w:ascii="Arial" w:hAnsi="Arial" w:cs="Arial"/>
          <w:spacing w:val="-3"/>
          <w:sz w:val="22"/>
          <w:szCs w:val="22"/>
        </w:rPr>
        <w:t xml:space="preserve">moved during consideration in detail to </w:t>
      </w:r>
      <w:r w:rsidRPr="00D16E43">
        <w:rPr>
          <w:rFonts w:ascii="Arial" w:hAnsi="Arial" w:cs="Arial"/>
          <w:spacing w:val="-3"/>
          <w:sz w:val="22"/>
          <w:szCs w:val="22"/>
        </w:rPr>
        <w:t xml:space="preserve">the </w:t>
      </w:r>
      <w:r w:rsidRPr="00D16E43">
        <w:rPr>
          <w:rFonts w:ascii="Arial" w:hAnsi="Arial" w:cs="Arial"/>
          <w:bCs/>
          <w:spacing w:val="-3"/>
          <w:sz w:val="22"/>
          <w:szCs w:val="22"/>
        </w:rPr>
        <w:t>Public Health and Other Legislation (Further Extension of Expiring Provisions) Amendment Bil</w:t>
      </w:r>
      <w:r w:rsidRPr="00D16E43">
        <w:rPr>
          <w:rFonts w:ascii="Arial" w:hAnsi="Arial" w:cs="Arial"/>
          <w:sz w:val="22"/>
          <w:szCs w:val="22"/>
        </w:rPr>
        <w:t xml:space="preserve">l 2021 </w:t>
      </w:r>
      <w:r w:rsidR="00E97707">
        <w:rPr>
          <w:rFonts w:ascii="Arial" w:hAnsi="Arial" w:cs="Arial"/>
          <w:sz w:val="22"/>
          <w:szCs w:val="22"/>
        </w:rPr>
        <w:t>to:</w:t>
      </w:r>
    </w:p>
    <w:p w14:paraId="2F9E0EF6" w14:textId="77777777" w:rsidR="00711140" w:rsidRPr="00711140" w:rsidRDefault="003A3532" w:rsidP="00346AAC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56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amend the </w:t>
      </w:r>
      <w:r w:rsidRPr="004B4198">
        <w:rPr>
          <w:rFonts w:ascii="Arial" w:eastAsia="SimSun" w:hAnsi="Arial" w:cs="Arial"/>
          <w:i/>
          <w:iCs/>
          <w:sz w:val="22"/>
          <w:szCs w:val="22"/>
          <w:lang w:eastAsia="zh-CN"/>
        </w:rPr>
        <w:t>Public Health Act 2005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to</w:t>
      </w:r>
      <w:r w:rsidR="00AF4731">
        <w:rPr>
          <w:rFonts w:ascii="Arial" w:eastAsia="SimSun" w:hAnsi="Arial" w:cs="Arial"/>
          <w:sz w:val="22"/>
          <w:szCs w:val="22"/>
          <w:lang w:eastAsia="zh-CN"/>
        </w:rPr>
        <w:t xml:space="preserve"> provide privacy protections for personal information collected </w:t>
      </w:r>
      <w:r w:rsidR="004B4198">
        <w:rPr>
          <w:rFonts w:ascii="Arial" w:eastAsia="SimSun" w:hAnsi="Arial" w:cs="Arial"/>
          <w:sz w:val="22"/>
          <w:szCs w:val="22"/>
          <w:lang w:eastAsia="zh-CN"/>
        </w:rPr>
        <w:t>through the App and other permitted methods</w:t>
      </w:r>
      <w:r w:rsidR="00C22DD0">
        <w:rPr>
          <w:rFonts w:ascii="Arial" w:eastAsia="SimSun" w:hAnsi="Arial" w:cs="Arial"/>
          <w:sz w:val="22"/>
          <w:szCs w:val="22"/>
          <w:lang w:eastAsia="zh-CN"/>
        </w:rPr>
        <w:t xml:space="preserve">, such as a paper-based collection. The information </w:t>
      </w:r>
      <w:r w:rsidR="003B0783">
        <w:rPr>
          <w:rFonts w:ascii="Arial" w:eastAsia="SimSun" w:hAnsi="Arial" w:cs="Arial"/>
          <w:sz w:val="22"/>
          <w:szCs w:val="22"/>
          <w:lang w:eastAsia="zh-CN"/>
        </w:rPr>
        <w:t>will only be permitted to be used for contact tracing and purposes related to the COVID-19 emergency</w:t>
      </w:r>
      <w:r w:rsidR="00711140">
        <w:rPr>
          <w:rFonts w:ascii="Arial" w:eastAsia="SimSun" w:hAnsi="Arial" w:cs="Arial"/>
          <w:sz w:val="22"/>
          <w:szCs w:val="22"/>
          <w:lang w:eastAsia="zh-CN"/>
        </w:rPr>
        <w:t xml:space="preserve"> under the Public Health Act. The information will not be able to be used for law enforcement purposes or admissible in civil or criminal proceedings;</w:t>
      </w:r>
    </w:p>
    <w:p w14:paraId="4AF25FF5" w14:textId="77777777" w:rsidR="00711140" w:rsidRPr="00711140" w:rsidRDefault="00711140" w:rsidP="00346AAC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56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amend the </w:t>
      </w:r>
      <w:r w:rsidRPr="00711140">
        <w:rPr>
          <w:rFonts w:ascii="Arial" w:eastAsia="SimSun" w:hAnsi="Arial" w:cs="Arial"/>
          <w:i/>
          <w:iCs/>
          <w:sz w:val="22"/>
          <w:szCs w:val="22"/>
          <w:lang w:eastAsia="zh-CN"/>
        </w:rPr>
        <w:t>Hospital and Health Boards Act 2011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and Public Health Act to permit more than one Deputy Chief Health Officer to be appointed;</w:t>
      </w:r>
    </w:p>
    <w:p w14:paraId="02ABEC14" w14:textId="2BAB0BEB" w:rsidR="003A3532" w:rsidRPr="00543820" w:rsidRDefault="00EA0672" w:rsidP="00346AAC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56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amend the </w:t>
      </w:r>
      <w:r w:rsidR="009D4339" w:rsidRPr="002A7F15">
        <w:rPr>
          <w:rFonts w:ascii="Arial" w:eastAsia="SimSun" w:hAnsi="Arial" w:cs="Arial"/>
          <w:i/>
          <w:iCs/>
          <w:sz w:val="22"/>
          <w:szCs w:val="22"/>
          <w:lang w:eastAsia="zh-CN"/>
        </w:rPr>
        <w:t>Holidays Act 1983</w:t>
      </w:r>
      <w:r w:rsidR="009D4339">
        <w:rPr>
          <w:rFonts w:ascii="Arial" w:eastAsia="SimSun" w:hAnsi="Arial" w:cs="Arial"/>
          <w:sz w:val="22"/>
          <w:szCs w:val="22"/>
          <w:lang w:eastAsia="zh-CN"/>
        </w:rPr>
        <w:t xml:space="preserve"> to </w:t>
      </w:r>
      <w:r w:rsidR="003A1B7A">
        <w:rPr>
          <w:rFonts w:ascii="Arial" w:eastAsia="SimSun" w:hAnsi="Arial" w:cs="Arial"/>
          <w:sz w:val="22"/>
          <w:szCs w:val="22"/>
          <w:lang w:eastAsia="zh-CN"/>
        </w:rPr>
        <w:t>declare Friday 29 October 2021 a</w:t>
      </w:r>
      <w:r w:rsidR="006261EA">
        <w:rPr>
          <w:rFonts w:ascii="Arial" w:eastAsia="SimSun" w:hAnsi="Arial" w:cs="Arial"/>
          <w:sz w:val="22"/>
          <w:szCs w:val="22"/>
          <w:lang w:eastAsia="zh-CN"/>
        </w:rPr>
        <w:t xml:space="preserve">s the replacement </w:t>
      </w:r>
      <w:r w:rsidR="003A1B7A">
        <w:rPr>
          <w:rFonts w:ascii="Arial" w:eastAsia="SimSun" w:hAnsi="Arial" w:cs="Arial"/>
          <w:sz w:val="22"/>
          <w:szCs w:val="22"/>
          <w:lang w:eastAsia="zh-CN"/>
        </w:rPr>
        <w:t xml:space="preserve"> public holiday </w:t>
      </w:r>
      <w:r w:rsidR="002A7F15">
        <w:rPr>
          <w:rFonts w:ascii="Arial" w:eastAsia="SimSun" w:hAnsi="Arial" w:cs="Arial"/>
          <w:sz w:val="22"/>
          <w:szCs w:val="22"/>
          <w:lang w:eastAsia="zh-CN"/>
        </w:rPr>
        <w:t xml:space="preserve">for the City of Brisbane, Scenic Rim region and Moreton Bay region, </w:t>
      </w:r>
      <w:r w:rsidR="006261EA">
        <w:rPr>
          <w:rFonts w:ascii="Arial" w:eastAsia="SimSun" w:hAnsi="Arial" w:cs="Arial"/>
          <w:sz w:val="22"/>
          <w:szCs w:val="22"/>
          <w:lang w:eastAsia="zh-CN"/>
        </w:rPr>
        <w:t>as a result of the cancellation of the Royal Queensland Show</w:t>
      </w:r>
      <w:r w:rsidR="000E6887">
        <w:rPr>
          <w:rFonts w:ascii="Arial" w:eastAsia="SimSun" w:hAnsi="Arial" w:cs="Arial"/>
          <w:sz w:val="22"/>
          <w:szCs w:val="22"/>
          <w:lang w:eastAsia="zh-CN"/>
        </w:rPr>
        <w:t>,</w:t>
      </w:r>
      <w:r w:rsidR="000B4F3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E6887">
        <w:rPr>
          <w:rFonts w:ascii="Arial" w:eastAsia="SimSun" w:hAnsi="Arial" w:cs="Arial"/>
          <w:sz w:val="22"/>
          <w:szCs w:val="22"/>
          <w:lang w:eastAsia="zh-CN"/>
        </w:rPr>
        <w:t>a</w:t>
      </w:r>
      <w:r w:rsidR="000B4F37">
        <w:rPr>
          <w:rFonts w:ascii="Arial" w:eastAsia="SimSun" w:hAnsi="Arial" w:cs="Arial"/>
          <w:sz w:val="22"/>
          <w:szCs w:val="22"/>
          <w:lang w:eastAsia="zh-CN"/>
        </w:rPr>
        <w:t xml:space="preserve">nd to provide that the Minister </w:t>
      </w:r>
      <w:r w:rsidR="000E6887">
        <w:rPr>
          <w:rFonts w:ascii="Arial" w:eastAsia="SimSun" w:hAnsi="Arial" w:cs="Arial"/>
          <w:sz w:val="22"/>
          <w:szCs w:val="22"/>
          <w:lang w:eastAsia="zh-CN"/>
        </w:rPr>
        <w:t xml:space="preserve">may move this public holiday to another date by notice published on the </w:t>
      </w:r>
      <w:r w:rsidR="00917F13">
        <w:rPr>
          <w:rFonts w:ascii="Arial" w:eastAsia="SimSun" w:hAnsi="Arial" w:cs="Arial"/>
          <w:sz w:val="22"/>
          <w:szCs w:val="22"/>
          <w:lang w:eastAsia="zh-CN"/>
        </w:rPr>
        <w:t>d</w:t>
      </w:r>
      <w:r w:rsidR="000E6887">
        <w:rPr>
          <w:rFonts w:ascii="Arial" w:eastAsia="SimSun" w:hAnsi="Arial" w:cs="Arial"/>
          <w:sz w:val="22"/>
          <w:szCs w:val="22"/>
          <w:lang w:eastAsia="zh-CN"/>
        </w:rPr>
        <w:t>ep</w:t>
      </w:r>
      <w:r w:rsidR="00917F13">
        <w:rPr>
          <w:rFonts w:ascii="Arial" w:eastAsia="SimSun" w:hAnsi="Arial" w:cs="Arial"/>
          <w:sz w:val="22"/>
          <w:szCs w:val="22"/>
          <w:lang w:eastAsia="zh-CN"/>
        </w:rPr>
        <w:t>artment’s website if the Minister considers it is necessary or desirable to do so having regard to the COVID-19 emergency</w:t>
      </w:r>
      <w:r w:rsidR="00543820">
        <w:rPr>
          <w:rFonts w:ascii="Arial" w:eastAsia="SimSun" w:hAnsi="Arial" w:cs="Arial"/>
          <w:sz w:val="22"/>
          <w:szCs w:val="22"/>
          <w:lang w:eastAsia="zh-CN"/>
        </w:rPr>
        <w:t>;</w:t>
      </w:r>
    </w:p>
    <w:p w14:paraId="493AC6C0" w14:textId="6BEB93A5" w:rsidR="00FB1F07" w:rsidRPr="00266497" w:rsidRDefault="00543820" w:rsidP="00346AAC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56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amend the </w:t>
      </w:r>
      <w:r w:rsidRPr="00543820">
        <w:rPr>
          <w:rFonts w:ascii="Arial" w:eastAsia="SimSun" w:hAnsi="Arial" w:cs="Arial"/>
          <w:i/>
          <w:iCs/>
          <w:sz w:val="22"/>
          <w:szCs w:val="22"/>
          <w:lang w:eastAsia="zh-CN"/>
        </w:rPr>
        <w:t>Industrial Relations Act 2016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to ensure the replacement public holiday is recognised for industrial relations purposes</w:t>
      </w:r>
      <w:r w:rsidR="00F46CDB">
        <w:rPr>
          <w:rFonts w:ascii="Arial" w:eastAsia="SimSun" w:hAnsi="Arial" w:cs="Arial"/>
          <w:sz w:val="22"/>
          <w:szCs w:val="22"/>
          <w:lang w:eastAsia="zh-CN"/>
        </w:rPr>
        <w:t>;</w:t>
      </w:r>
    </w:p>
    <w:p w14:paraId="26930F4C" w14:textId="4BA74AC0" w:rsidR="00543820" w:rsidRPr="003A3532" w:rsidRDefault="00266497" w:rsidP="00346AAC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567"/>
        <w:jc w:val="both"/>
        <w:rPr>
          <w:rFonts w:ascii="Arial" w:hAnsi="Arial" w:cs="Arial"/>
          <w:spacing w:val="-3"/>
          <w:sz w:val="22"/>
          <w:szCs w:val="22"/>
        </w:rPr>
      </w:pPr>
      <w:r w:rsidRPr="00073F72">
        <w:rPr>
          <w:rFonts w:ascii="Arial" w:hAnsi="Arial" w:cs="Arial"/>
          <w:bCs/>
          <w:spacing w:val="-3"/>
          <w:sz w:val="22"/>
          <w:szCs w:val="22"/>
        </w:rPr>
        <w:t xml:space="preserve">repeal the </w:t>
      </w:r>
      <w:r w:rsidRPr="00073F72">
        <w:rPr>
          <w:rFonts w:ascii="Arial" w:hAnsi="Arial" w:cs="Arial"/>
          <w:bCs/>
          <w:i/>
          <w:iCs/>
          <w:spacing w:val="-3"/>
          <w:sz w:val="22"/>
          <w:szCs w:val="22"/>
        </w:rPr>
        <w:t>Personalised Transport Ombudsman Act 2019</w:t>
      </w:r>
      <w:r w:rsidRPr="00073F7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make </w:t>
      </w:r>
      <w:r w:rsidRPr="00073F72">
        <w:rPr>
          <w:rFonts w:ascii="Arial" w:hAnsi="Arial" w:cs="Arial"/>
          <w:bCs/>
          <w:spacing w:val="-3"/>
          <w:sz w:val="22"/>
          <w:szCs w:val="22"/>
        </w:rPr>
        <w:t xml:space="preserve">a consequential amendment to the </w:t>
      </w:r>
      <w:r w:rsidRPr="00073F72">
        <w:rPr>
          <w:rFonts w:ascii="Arial" w:hAnsi="Arial" w:cs="Arial"/>
          <w:bCs/>
          <w:i/>
          <w:iCs/>
          <w:spacing w:val="-3"/>
          <w:sz w:val="22"/>
          <w:szCs w:val="22"/>
        </w:rPr>
        <w:t>Transport Operations (Passenger Transport) Act 1994</w:t>
      </w:r>
      <w:r w:rsidRPr="00073F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6CDB">
        <w:rPr>
          <w:rFonts w:ascii="Arial" w:hAnsi="Arial" w:cs="Arial"/>
          <w:bCs/>
          <w:spacing w:val="-3"/>
          <w:sz w:val="22"/>
          <w:szCs w:val="22"/>
        </w:rPr>
        <w:t xml:space="preserve">(these amendments </w:t>
      </w:r>
      <w:r w:rsidRPr="00073F72">
        <w:rPr>
          <w:rFonts w:ascii="Arial" w:hAnsi="Arial" w:cs="Arial"/>
          <w:bCs/>
          <w:spacing w:val="-3"/>
          <w:sz w:val="22"/>
          <w:szCs w:val="22"/>
        </w:rPr>
        <w:t xml:space="preserve">were </w:t>
      </w:r>
      <w:r w:rsidR="00F46CDB">
        <w:rPr>
          <w:rFonts w:ascii="Arial" w:hAnsi="Arial" w:cs="Arial"/>
          <w:bCs/>
          <w:spacing w:val="-3"/>
          <w:sz w:val="22"/>
          <w:szCs w:val="22"/>
        </w:rPr>
        <w:t xml:space="preserve">originally </w:t>
      </w:r>
      <w:r w:rsidRPr="00073F72">
        <w:rPr>
          <w:rFonts w:ascii="Arial" w:hAnsi="Arial" w:cs="Arial"/>
          <w:bCs/>
          <w:spacing w:val="-3"/>
          <w:sz w:val="22"/>
          <w:szCs w:val="22"/>
        </w:rPr>
        <w:t>introduced to Parliament on 16 June 2021 as part of the Resources and Other Legislation Amendment Bill 2021</w:t>
      </w:r>
      <w:r w:rsidR="00F46CDB">
        <w:rPr>
          <w:rFonts w:ascii="Arial" w:hAnsi="Arial" w:cs="Arial"/>
          <w:bCs/>
          <w:spacing w:val="-3"/>
          <w:sz w:val="22"/>
          <w:szCs w:val="22"/>
        </w:rPr>
        <w:t>)</w:t>
      </w:r>
      <w:r w:rsidR="00543820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DE7DC98" w14:textId="247967F8" w:rsidR="00EC6E48" w:rsidRPr="00153151" w:rsidRDefault="005565F5" w:rsidP="00346A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63F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153151">
        <w:rPr>
          <w:rFonts w:ascii="Arial" w:hAnsi="Arial" w:cs="Arial"/>
          <w:spacing w:val="-3"/>
          <w:sz w:val="22"/>
          <w:szCs w:val="22"/>
        </w:rPr>
        <w:t xml:space="preserve"> t</w:t>
      </w:r>
      <w:r w:rsidR="00EC6E48" w:rsidRPr="00153151">
        <w:rPr>
          <w:rFonts w:ascii="Arial" w:hAnsi="Arial" w:cs="Arial"/>
          <w:bCs/>
          <w:spacing w:val="-3"/>
          <w:sz w:val="22"/>
          <w:szCs w:val="22"/>
        </w:rPr>
        <w:t xml:space="preserve">he amendments, accompanied by Explanatory Notes and a Statement of Compatibility with Human Rights, be moved during consideration in detail of the </w:t>
      </w:r>
      <w:r w:rsidRPr="00153151">
        <w:rPr>
          <w:rFonts w:ascii="Arial" w:hAnsi="Arial" w:cs="Arial"/>
          <w:bCs/>
          <w:spacing w:val="-3"/>
          <w:sz w:val="22"/>
          <w:szCs w:val="22"/>
        </w:rPr>
        <w:t>Public Health and Other Legislation (Further Extension of Expiring Provisions) Amendment Bill 2021.</w:t>
      </w:r>
    </w:p>
    <w:p w14:paraId="77EA8718" w14:textId="77777777" w:rsidR="005565F5" w:rsidRDefault="005565F5" w:rsidP="00346AA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7751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Pr="0045775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4DABEF" w14:textId="7659B949" w:rsidR="005565F5" w:rsidRDefault="00231FB9" w:rsidP="005565F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64F43" w:rsidRPr="00120ECF">
          <w:rPr>
            <w:rStyle w:val="Hyperlink"/>
            <w:rFonts w:ascii="Arial" w:hAnsi="Arial" w:cs="Arial"/>
            <w:sz w:val="22"/>
            <w:szCs w:val="22"/>
          </w:rPr>
          <w:t xml:space="preserve">Amendments moved during </w:t>
        </w:r>
        <w:r w:rsidR="00A67AD2" w:rsidRPr="00120ECF">
          <w:rPr>
            <w:rStyle w:val="Hyperlink"/>
            <w:rFonts w:ascii="Arial" w:hAnsi="Arial" w:cs="Arial"/>
            <w:sz w:val="22"/>
            <w:szCs w:val="22"/>
          </w:rPr>
          <w:t xml:space="preserve">consideration </w:t>
        </w:r>
        <w:r w:rsidR="00190EC4" w:rsidRPr="00120ECF">
          <w:rPr>
            <w:rStyle w:val="Hyperlink"/>
            <w:rFonts w:ascii="Arial" w:hAnsi="Arial" w:cs="Arial"/>
            <w:sz w:val="22"/>
            <w:szCs w:val="22"/>
          </w:rPr>
          <w:t xml:space="preserve">in detail </w:t>
        </w:r>
        <w:r w:rsidR="00A67AD2" w:rsidRPr="00120ECF">
          <w:rPr>
            <w:rStyle w:val="Hyperlink"/>
            <w:rFonts w:ascii="Arial" w:hAnsi="Arial" w:cs="Arial"/>
            <w:sz w:val="22"/>
            <w:szCs w:val="22"/>
          </w:rPr>
          <w:t xml:space="preserve">of the </w:t>
        </w:r>
        <w:r w:rsidR="002B6F0D" w:rsidRPr="00120EC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Public Health and Other Legislation (Further Extension of Expiring Provisions) Amendment Bil</w:t>
        </w:r>
        <w:r w:rsidR="002B6F0D" w:rsidRPr="00120ECF">
          <w:rPr>
            <w:rStyle w:val="Hyperlink"/>
            <w:rFonts w:ascii="Arial" w:hAnsi="Arial" w:cs="Arial"/>
            <w:sz w:val="22"/>
            <w:szCs w:val="22"/>
          </w:rPr>
          <w:t xml:space="preserve">l </w:t>
        </w:r>
        <w:r w:rsidR="005565F5" w:rsidRPr="00120ECF">
          <w:rPr>
            <w:rStyle w:val="Hyperlink"/>
            <w:rFonts w:ascii="Arial" w:hAnsi="Arial" w:cs="Arial"/>
            <w:sz w:val="22"/>
            <w:szCs w:val="22"/>
          </w:rPr>
          <w:t>2021</w:t>
        </w:r>
      </w:hyperlink>
    </w:p>
    <w:p w14:paraId="6DC9F8B7" w14:textId="1B8652E0" w:rsidR="005565F5" w:rsidRDefault="00231FB9" w:rsidP="005565F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565F5" w:rsidRPr="00156B2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D8324DE" w14:textId="3D67FB71" w:rsidR="00C845CB" w:rsidRPr="00153151" w:rsidRDefault="00231FB9" w:rsidP="0015315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565F5" w:rsidRPr="00C567ED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C845CB" w:rsidRPr="00153151" w:rsidSect="00153151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49E9" w14:textId="77777777" w:rsidR="00944A10" w:rsidRDefault="00944A10" w:rsidP="00685D54">
      <w:r>
        <w:separator/>
      </w:r>
    </w:p>
  </w:endnote>
  <w:endnote w:type="continuationSeparator" w:id="0">
    <w:p w14:paraId="3B15D0B5" w14:textId="77777777" w:rsidR="00944A10" w:rsidRDefault="00944A10" w:rsidP="00685D54">
      <w:r>
        <w:continuationSeparator/>
      </w:r>
    </w:p>
  </w:endnote>
  <w:endnote w:type="continuationNotice" w:id="1">
    <w:p w14:paraId="14A5F109" w14:textId="77777777" w:rsidR="00944A10" w:rsidRDefault="00944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37B5" w14:textId="77777777" w:rsidR="00944A10" w:rsidRDefault="00944A10" w:rsidP="00685D54">
      <w:r>
        <w:separator/>
      </w:r>
    </w:p>
  </w:footnote>
  <w:footnote w:type="continuationSeparator" w:id="0">
    <w:p w14:paraId="2A5203D2" w14:textId="77777777" w:rsidR="00944A10" w:rsidRDefault="00944A10" w:rsidP="00685D54">
      <w:r>
        <w:continuationSeparator/>
      </w:r>
    </w:p>
  </w:footnote>
  <w:footnote w:type="continuationNotice" w:id="1">
    <w:p w14:paraId="0FC541C1" w14:textId="77777777" w:rsidR="00944A10" w:rsidRDefault="00944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D4BE" w14:textId="5AE438F0" w:rsidR="00685D54" w:rsidRPr="00685D54" w:rsidRDefault="00685D54" w:rsidP="002853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</w:rPr>
    </w:pPr>
    <w:r w:rsidRPr="00685D54">
      <w:rPr>
        <w:rFonts w:ascii="Arial" w:hAnsi="Arial" w:cs="Arial"/>
        <w:b/>
        <w:color w:val="auto"/>
        <w:sz w:val="28"/>
        <w:szCs w:val="22"/>
      </w:rPr>
      <w:t>Queensland Government</w:t>
    </w:r>
  </w:p>
  <w:p w14:paraId="1F5536F2" w14:textId="77777777" w:rsidR="00685D54" w:rsidRPr="00685D54" w:rsidRDefault="00685D54" w:rsidP="002853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</w:rPr>
    </w:pPr>
  </w:p>
  <w:p w14:paraId="2329A50E" w14:textId="4F1970B3" w:rsidR="00685D54" w:rsidRPr="00685D54" w:rsidRDefault="00685D54" w:rsidP="002853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</w:rPr>
    </w:pPr>
    <w:r w:rsidRPr="00685D54">
      <w:rPr>
        <w:rFonts w:ascii="Arial" w:hAnsi="Arial" w:cs="Arial"/>
        <w:b/>
        <w:color w:val="auto"/>
        <w:sz w:val="22"/>
        <w:szCs w:val="22"/>
      </w:rPr>
      <w:t xml:space="preserve">Cabinet – </w:t>
    </w:r>
    <w:r w:rsidR="00EC6E48">
      <w:rPr>
        <w:rFonts w:ascii="Arial" w:hAnsi="Arial" w:cs="Arial"/>
        <w:b/>
        <w:color w:val="auto"/>
        <w:sz w:val="22"/>
        <w:szCs w:val="22"/>
      </w:rPr>
      <w:t>August</w:t>
    </w:r>
    <w:r w:rsidRPr="00685D54">
      <w:rPr>
        <w:rFonts w:ascii="Arial" w:hAnsi="Arial" w:cs="Arial"/>
        <w:b/>
        <w:color w:val="auto"/>
        <w:sz w:val="22"/>
        <w:szCs w:val="22"/>
      </w:rPr>
      <w:t xml:space="preserve"> 2021</w:t>
    </w:r>
  </w:p>
  <w:p w14:paraId="0FADBF7A" w14:textId="2F3D10C1" w:rsidR="00685D54" w:rsidRPr="00685D54" w:rsidRDefault="00685D54" w:rsidP="00685D54">
    <w:pPr>
      <w:tabs>
        <w:tab w:val="center" w:pos="4153"/>
        <w:tab w:val="right" w:pos="8306"/>
      </w:tabs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685D54">
      <w:rPr>
        <w:rFonts w:ascii="Arial" w:hAnsi="Arial" w:cs="Arial"/>
        <w:b/>
        <w:color w:val="auto"/>
        <w:sz w:val="22"/>
        <w:szCs w:val="22"/>
        <w:u w:val="single"/>
      </w:rPr>
      <w:t>Public Health and Other Legislation (Further Extension of Expiring Provisions) Amendment Bill 2021</w:t>
    </w:r>
  </w:p>
  <w:p w14:paraId="17975BB0" w14:textId="77777777" w:rsidR="00685D54" w:rsidRPr="00685D54" w:rsidRDefault="00685D54" w:rsidP="00685D54">
    <w:pPr>
      <w:tabs>
        <w:tab w:val="center" w:pos="4153"/>
        <w:tab w:val="right" w:pos="8306"/>
      </w:tabs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685D54">
      <w:rPr>
        <w:rFonts w:ascii="Arial" w:hAnsi="Arial" w:cs="Arial"/>
        <w:b/>
        <w:color w:val="auto"/>
        <w:sz w:val="22"/>
        <w:szCs w:val="22"/>
        <w:u w:val="single"/>
      </w:rPr>
      <w:t>Minister for Health and Ambulance Services and Leader of the House</w:t>
    </w:r>
  </w:p>
  <w:p w14:paraId="24A53F26" w14:textId="77777777" w:rsidR="00685D54" w:rsidRPr="00685D54" w:rsidRDefault="00685D54" w:rsidP="00685D54">
    <w:pPr>
      <w:pBdr>
        <w:bottom w:val="single" w:sz="4" w:space="1" w:color="auto"/>
      </w:pBdr>
      <w:tabs>
        <w:tab w:val="center" w:pos="4153"/>
        <w:tab w:val="right" w:pos="8306"/>
      </w:tabs>
      <w:rPr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31B2C2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CC1C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color w:val="00000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6"/>
    <w:rsid w:val="00002A97"/>
    <w:rsid w:val="00020E95"/>
    <w:rsid w:val="00023B61"/>
    <w:rsid w:val="00036EB2"/>
    <w:rsid w:val="000409E7"/>
    <w:rsid w:val="000473D2"/>
    <w:rsid w:val="00067149"/>
    <w:rsid w:val="00070694"/>
    <w:rsid w:val="00073F72"/>
    <w:rsid w:val="0009389C"/>
    <w:rsid w:val="000A1899"/>
    <w:rsid w:val="000A5031"/>
    <w:rsid w:val="000B4F37"/>
    <w:rsid w:val="000E6887"/>
    <w:rsid w:val="000F5673"/>
    <w:rsid w:val="00116F45"/>
    <w:rsid w:val="00120ECF"/>
    <w:rsid w:val="00133162"/>
    <w:rsid w:val="00153151"/>
    <w:rsid w:val="001535B5"/>
    <w:rsid w:val="00156B21"/>
    <w:rsid w:val="001616F4"/>
    <w:rsid w:val="00163149"/>
    <w:rsid w:val="00167DB7"/>
    <w:rsid w:val="001717CF"/>
    <w:rsid w:val="00176BFC"/>
    <w:rsid w:val="00190EC4"/>
    <w:rsid w:val="00194CD5"/>
    <w:rsid w:val="001969CF"/>
    <w:rsid w:val="001A5C97"/>
    <w:rsid w:val="001C639C"/>
    <w:rsid w:val="001E61D2"/>
    <w:rsid w:val="00202FC7"/>
    <w:rsid w:val="00231FB9"/>
    <w:rsid w:val="002464D2"/>
    <w:rsid w:val="00250E19"/>
    <w:rsid w:val="00256797"/>
    <w:rsid w:val="00266497"/>
    <w:rsid w:val="00285354"/>
    <w:rsid w:val="00287BE8"/>
    <w:rsid w:val="00290326"/>
    <w:rsid w:val="002A1E9D"/>
    <w:rsid w:val="002A7F15"/>
    <w:rsid w:val="002B1F73"/>
    <w:rsid w:val="002B3C43"/>
    <w:rsid w:val="002B6F0D"/>
    <w:rsid w:val="002C240D"/>
    <w:rsid w:val="002E51B3"/>
    <w:rsid w:val="002E6CFD"/>
    <w:rsid w:val="002F02B7"/>
    <w:rsid w:val="002F66D5"/>
    <w:rsid w:val="00301B45"/>
    <w:rsid w:val="00303CCF"/>
    <w:rsid w:val="003069DA"/>
    <w:rsid w:val="00326086"/>
    <w:rsid w:val="00333DC3"/>
    <w:rsid w:val="00346575"/>
    <w:rsid w:val="00346AAC"/>
    <w:rsid w:val="003502BA"/>
    <w:rsid w:val="00364F43"/>
    <w:rsid w:val="00381964"/>
    <w:rsid w:val="0038300F"/>
    <w:rsid w:val="003941F6"/>
    <w:rsid w:val="00395FFF"/>
    <w:rsid w:val="003A08A1"/>
    <w:rsid w:val="003A1A08"/>
    <w:rsid w:val="003A1B7A"/>
    <w:rsid w:val="003A3532"/>
    <w:rsid w:val="003B0783"/>
    <w:rsid w:val="003B29BF"/>
    <w:rsid w:val="003C17CF"/>
    <w:rsid w:val="003C3351"/>
    <w:rsid w:val="003C3A08"/>
    <w:rsid w:val="003C6408"/>
    <w:rsid w:val="003D6210"/>
    <w:rsid w:val="003E5EDE"/>
    <w:rsid w:val="003F1A59"/>
    <w:rsid w:val="003F5E2A"/>
    <w:rsid w:val="00405367"/>
    <w:rsid w:val="00411B18"/>
    <w:rsid w:val="00417E92"/>
    <w:rsid w:val="00425963"/>
    <w:rsid w:val="00441A23"/>
    <w:rsid w:val="004468B6"/>
    <w:rsid w:val="00457751"/>
    <w:rsid w:val="0046561C"/>
    <w:rsid w:val="004B4198"/>
    <w:rsid w:val="004C1426"/>
    <w:rsid w:val="004C54B8"/>
    <w:rsid w:val="004C68C3"/>
    <w:rsid w:val="004F1E52"/>
    <w:rsid w:val="004F4203"/>
    <w:rsid w:val="0051519C"/>
    <w:rsid w:val="00516FA3"/>
    <w:rsid w:val="00526F89"/>
    <w:rsid w:val="00543820"/>
    <w:rsid w:val="005565F5"/>
    <w:rsid w:val="00560147"/>
    <w:rsid w:val="00580C0C"/>
    <w:rsid w:val="005E666F"/>
    <w:rsid w:val="006261EA"/>
    <w:rsid w:val="0063603E"/>
    <w:rsid w:val="00646CEC"/>
    <w:rsid w:val="006601FD"/>
    <w:rsid w:val="00683CCF"/>
    <w:rsid w:val="00685D54"/>
    <w:rsid w:val="006911B6"/>
    <w:rsid w:val="006A4B9C"/>
    <w:rsid w:val="006A6FFF"/>
    <w:rsid w:val="006B18FD"/>
    <w:rsid w:val="006B19B3"/>
    <w:rsid w:val="00701C45"/>
    <w:rsid w:val="00711140"/>
    <w:rsid w:val="00730CF7"/>
    <w:rsid w:val="00731AAD"/>
    <w:rsid w:val="0074607D"/>
    <w:rsid w:val="00746681"/>
    <w:rsid w:val="00776DA9"/>
    <w:rsid w:val="00794A09"/>
    <w:rsid w:val="007B23A4"/>
    <w:rsid w:val="007B3F2D"/>
    <w:rsid w:val="007B5C06"/>
    <w:rsid w:val="007C75A7"/>
    <w:rsid w:val="007D29A4"/>
    <w:rsid w:val="007D4621"/>
    <w:rsid w:val="007D6930"/>
    <w:rsid w:val="007E2026"/>
    <w:rsid w:val="00830F55"/>
    <w:rsid w:val="00835F69"/>
    <w:rsid w:val="008412BC"/>
    <w:rsid w:val="00846245"/>
    <w:rsid w:val="0086685B"/>
    <w:rsid w:val="008A3694"/>
    <w:rsid w:val="008A49BF"/>
    <w:rsid w:val="008B20FD"/>
    <w:rsid w:val="008E60FC"/>
    <w:rsid w:val="008F44A8"/>
    <w:rsid w:val="0090284E"/>
    <w:rsid w:val="00917F13"/>
    <w:rsid w:val="00944A10"/>
    <w:rsid w:val="0096268A"/>
    <w:rsid w:val="009637A3"/>
    <w:rsid w:val="00966BA5"/>
    <w:rsid w:val="00990D66"/>
    <w:rsid w:val="009C02EF"/>
    <w:rsid w:val="009D104F"/>
    <w:rsid w:val="009D4339"/>
    <w:rsid w:val="009D60D9"/>
    <w:rsid w:val="00A079CB"/>
    <w:rsid w:val="00A15001"/>
    <w:rsid w:val="00A26661"/>
    <w:rsid w:val="00A352E1"/>
    <w:rsid w:val="00A6156B"/>
    <w:rsid w:val="00A67AD2"/>
    <w:rsid w:val="00A769F0"/>
    <w:rsid w:val="00A76BE8"/>
    <w:rsid w:val="00AA5F50"/>
    <w:rsid w:val="00AC3867"/>
    <w:rsid w:val="00AE6F9F"/>
    <w:rsid w:val="00AF4731"/>
    <w:rsid w:val="00B04E09"/>
    <w:rsid w:val="00B1367C"/>
    <w:rsid w:val="00B1523B"/>
    <w:rsid w:val="00B34909"/>
    <w:rsid w:val="00B558CC"/>
    <w:rsid w:val="00B624D4"/>
    <w:rsid w:val="00B6334A"/>
    <w:rsid w:val="00B83636"/>
    <w:rsid w:val="00B83AF5"/>
    <w:rsid w:val="00B86967"/>
    <w:rsid w:val="00B97BF3"/>
    <w:rsid w:val="00BA1F23"/>
    <w:rsid w:val="00BB36A8"/>
    <w:rsid w:val="00BC7AC8"/>
    <w:rsid w:val="00BF0671"/>
    <w:rsid w:val="00BF280B"/>
    <w:rsid w:val="00BF4B30"/>
    <w:rsid w:val="00C01BBC"/>
    <w:rsid w:val="00C109AF"/>
    <w:rsid w:val="00C22DD0"/>
    <w:rsid w:val="00C43A95"/>
    <w:rsid w:val="00C50AB8"/>
    <w:rsid w:val="00C53995"/>
    <w:rsid w:val="00C54DEB"/>
    <w:rsid w:val="00C567ED"/>
    <w:rsid w:val="00C60D68"/>
    <w:rsid w:val="00C845CB"/>
    <w:rsid w:val="00CA60C2"/>
    <w:rsid w:val="00CB139E"/>
    <w:rsid w:val="00CB33BB"/>
    <w:rsid w:val="00CE5BB2"/>
    <w:rsid w:val="00CF0863"/>
    <w:rsid w:val="00D07358"/>
    <w:rsid w:val="00D16E43"/>
    <w:rsid w:val="00D2681B"/>
    <w:rsid w:val="00D35A0A"/>
    <w:rsid w:val="00D4069E"/>
    <w:rsid w:val="00D738CC"/>
    <w:rsid w:val="00D859EF"/>
    <w:rsid w:val="00D9588F"/>
    <w:rsid w:val="00DB6332"/>
    <w:rsid w:val="00DC0C45"/>
    <w:rsid w:val="00DD75BF"/>
    <w:rsid w:val="00E1049F"/>
    <w:rsid w:val="00E110C2"/>
    <w:rsid w:val="00E6598B"/>
    <w:rsid w:val="00E97707"/>
    <w:rsid w:val="00EA0672"/>
    <w:rsid w:val="00EC02B6"/>
    <w:rsid w:val="00EC6640"/>
    <w:rsid w:val="00EC6E48"/>
    <w:rsid w:val="00F07C96"/>
    <w:rsid w:val="00F46CDB"/>
    <w:rsid w:val="00F60B80"/>
    <w:rsid w:val="00F961C1"/>
    <w:rsid w:val="00FB13BC"/>
    <w:rsid w:val="00FB1F07"/>
    <w:rsid w:val="00FC2358"/>
    <w:rsid w:val="00FC37F2"/>
    <w:rsid w:val="00FC7F52"/>
    <w:rsid w:val="00FE494D"/>
    <w:rsid w:val="00FE7F3D"/>
    <w:rsid w:val="00FF2A47"/>
    <w:rsid w:val="00FF3D9D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5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54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DocSubTitle">
    <w:name w:val="DocSubTitle"/>
    <w:basedOn w:val="DefaultParagraphFont"/>
    <w:rsid w:val="00A26661"/>
  </w:style>
  <w:style w:type="paragraph" w:styleId="ListParagraph">
    <w:name w:val="List Paragraph"/>
    <w:basedOn w:val="Normal"/>
    <w:uiPriority w:val="34"/>
    <w:qFormat/>
    <w:rsid w:val="0086685B"/>
    <w:pPr>
      <w:ind w:left="720"/>
      <w:contextualSpacing/>
    </w:pPr>
  </w:style>
  <w:style w:type="paragraph" w:styleId="Revision">
    <w:name w:val="Revision"/>
    <w:hidden/>
    <w:uiPriority w:val="99"/>
    <w:semiHidden/>
    <w:rsid w:val="002853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87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ACi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F250B-2F17-4166-8B9E-5235D2A6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065A-7FE8-4BFE-9ABC-B13AF1744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AE9B2-0F68-456C-8A51-BBE8C691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387</Words>
  <Characters>2146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Base>https://www.cabinet.qld.gov.au/documents/2021/Aug/PHOLAB 2021 ACiD/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183</cp:revision>
  <cp:lastPrinted>2021-08-26T01:52:00Z</cp:lastPrinted>
  <dcterms:created xsi:type="dcterms:W3CDTF">2021-08-03T06:04:00Z</dcterms:created>
  <dcterms:modified xsi:type="dcterms:W3CDTF">2022-02-21T22:38:00Z</dcterms:modified>
  <cp:category>covid-19,Health,Legislation,Privacy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